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УТВЕРЖДЕНА</w:t>
      </w:r>
      <w:r/>
    </w:p>
    <w:p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/>
    </w:p>
    <w:p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</w:t>
      </w:r>
      <w:r>
        <w:rPr>
          <w:color w:val="auto"/>
          <w:sz w:val="26"/>
          <w:szCs w:val="26"/>
        </w:rPr>
        <w:t xml:space="preserve">распоряжением</w:t>
      </w:r>
      <w:r>
        <w:rPr>
          <w:color w:val="auto"/>
          <w:sz w:val="26"/>
          <w:szCs w:val="26"/>
        </w:rPr>
        <w:t xml:space="preserve"> администрации </w:t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  <w:t xml:space="preserve">            </w:t>
      </w:r>
      <w:r>
        <w:rPr>
          <w:color w:val="auto"/>
          <w:sz w:val="26"/>
          <w:szCs w:val="26"/>
        </w:rPr>
        <w:t xml:space="preserve"> Копейского</w:t>
      </w:r>
      <w:r>
        <w:rPr>
          <w:color w:val="auto"/>
          <w:sz w:val="26"/>
          <w:szCs w:val="26"/>
        </w:rPr>
        <w:t xml:space="preserve"> городского округа</w:t>
      </w:r>
      <w:r/>
    </w:p>
    <w:p>
      <w:pPr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                        </w:t>
      </w:r>
      <w:r>
        <w:rPr>
          <w:color w:val="auto"/>
          <w:sz w:val="26"/>
          <w:szCs w:val="26"/>
        </w:rPr>
        <w:t xml:space="preserve">от</w:t>
      </w:r>
      <w:r>
        <w:rPr>
          <w:color w:val="auto"/>
          <w:sz w:val="26"/>
          <w:szCs w:val="26"/>
        </w:rPr>
        <w:t xml:space="preserve">_______________№______________</w:t>
      </w:r>
      <w:r/>
    </w:p>
    <w:p>
      <w:pPr>
        <w:tabs>
          <w:tab w:val="center" w:pos="4677" w:leader="none"/>
          <w:tab w:val="right" w:pos="9355" w:leader="none"/>
        </w:tabs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 xml:space="preserve">                                                        </w:t>
      </w:r>
      <w:r>
        <w:rPr>
          <w:color w:val="auto"/>
          <w:sz w:val="26"/>
          <w:szCs w:val="26"/>
        </w:rPr>
        <w:tab/>
      </w:r>
      <w:r/>
    </w:p>
    <w:p>
      <w:pPr>
        <w:jc w:val="center"/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</w:r>
      <w:r/>
    </w:p>
    <w:p>
      <w:pPr>
        <w:jc w:val="center"/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</w:r>
      <w:r/>
    </w:p>
    <w:p>
      <w:pPr>
        <w:pStyle w:val="95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956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Муниципальная программа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sz w:val="26"/>
          <w:szCs w:val="26"/>
        </w:rPr>
        <w:t xml:space="preserve">Переселение граждан из аварийного жилищного фонда, признанного таковым в период с 1 января 2017 года до 1 января 2022 года, в Копейском городском округе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sz w:val="26"/>
          <w:szCs w:val="26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 xml:space="preserve">I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 Оценка текущего состояния аварийного 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непригодного жилищного фонда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на территории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Копейско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го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городско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го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округ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63"/>
        <w:numPr>
          <w:ilvl w:val="0"/>
          <w:numId w:val="32"/>
        </w:numPr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Обеспечение доступным и комфортным жильем остается одним из самых актуальных вопросов для большинства граждан Российской Федерации, в том числе и для жителей Копейского городского округа.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63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Одним из приоритетов национальной жилищной политики Российской Федерации является обеспечение граждан безопасными и комфортными условиями проживания.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63"/>
        <w:ind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До конца 2030 года планируется снизить суммарную площадь жилищного фонда, признанного аварийным и подлежащим сносу, внести 100 процентов аварийного жилого фонда в цифровой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реестр аварийного жилья.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63"/>
        <w:ind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Для ликвидации аварийного жилищного фонда начиная с 2008 года реализуются программы по переселению граждан из аварийного жилищного фонда с участием средств Фонда.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963"/>
        <w:ind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За период 2013-2024 годов на территории округа ликвидирован жилищный фонд, признанный аварийным по состоянию на 01 января 2017 года.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963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Основным фактором, препятствующим устойчивому сокращению непригодного для проживания жилищного фонда, является ежегодный прирост и, соответственно, накопление жилищного фонда, который признается аварийным по итогам его обследования.</w:t>
      </w:r>
      <w:r>
        <w:rPr>
          <w:rFonts w:ascii="Times New Roman" w:hAnsi="Times New Roman" w:cs="Times New Roman"/>
          <w:color w:val="auto"/>
          <w:sz w:val="26"/>
          <w:szCs w:val="26"/>
        </w:rPr>
      </w:r>
      <w:r/>
    </w:p>
    <w:p>
      <w:pPr>
        <w:pStyle w:val="963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color w:val="auto"/>
          <w:sz w:val="26"/>
          <w:szCs w:val="26"/>
        </w:rPr>
      </w:r>
      <w:r/>
    </w:p>
    <w:p>
      <w:pPr>
        <w:pStyle w:val="963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 xml:space="preserve">I</w:t>
      </w: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 xml:space="preserve">I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Приоритеты и цели муниципальной политики, включая характеристику текущего состояния сферы реализации муниципальной программы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70"/>
        <w:numPr>
          <w:ilvl w:val="0"/>
          <w:numId w:val="0"/>
        </w:numPr>
        <w:ind w:left="0" w:right="0" w:firstLine="709"/>
        <w:jc w:val="both"/>
        <w:keepLines w:val="0"/>
        <w:keepNext w:val="0"/>
        <w:spacing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 Наличие для граждан возможности улучшения жилищных условий является важным показателем п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овышения благосостояния населения Челябинской области, предпосылкой социальной и экономической стабильности государства, поэтому решение жилищной проблемы является одним из приоритетов государственной политики в Российской Федерации и Челябинской области.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Одной из важнейших проблем жилищно-коммунальной реформы является проблема ликвидации аварийного жилищного фонда. Его наличие не только ухудшает внешний облик, понижает инвестиционную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привлекательность населенных пунктов и сдерживает развитие инфраструктуры, но и создает потенциальную угрозу безопасности и комфортности проживания граждан, ухудшает качество предоставляемых коммунальных услуг, повышает социальную напряженность в обществе.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color w:val="000000"/>
          <w:sz w:val="26"/>
          <w:szCs w:val="26"/>
        </w:rPr>
        <w:t xml:space="preserve"> На территории округа площадь жилищного фонда, признанного аварийным в период с 01 января 2017 года до 01 января 2022 года, составляет более 30 тыс. кв. метров.</w:t>
      </w:r>
      <w:r>
        <w:rPr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left" w:pos="993" w:leader="none"/>
          <w:tab w:val="left" w:pos="1134" w:leader="none"/>
        </w:tabs>
        <w:rPr>
          <w:color w:val="000000"/>
        </w:rPr>
      </w:pPr>
      <w:r>
        <w:rPr>
          <w:sz w:val="26"/>
          <w:szCs w:val="26"/>
        </w:rPr>
        <w:t xml:space="preserve">В рамках настоящей муниципальной программы разработаны мероприятия, в соответствии с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«</w:t>
      </w:r>
      <w:r>
        <w:rPr>
          <w:sz w:val="26"/>
          <w:szCs w:val="26"/>
          <w:lang w:val="ru-RU"/>
        </w:rPr>
        <w:t xml:space="preserve">О</w:t>
      </w:r>
      <w:r>
        <w:rPr>
          <w:sz w:val="26"/>
          <w:szCs w:val="26"/>
        </w:rPr>
        <w:t xml:space="preserve">бластн</w:t>
      </w:r>
      <w:r>
        <w:rPr>
          <w:sz w:val="26"/>
          <w:szCs w:val="26"/>
          <w:lang w:val="ru-RU"/>
        </w:rPr>
        <w:t xml:space="preserve">ой</w:t>
      </w:r>
      <w:r>
        <w:rPr>
          <w:sz w:val="26"/>
          <w:szCs w:val="26"/>
        </w:rPr>
        <w:t xml:space="preserve"> адресн</w:t>
      </w:r>
      <w:r>
        <w:rPr>
          <w:sz w:val="26"/>
          <w:szCs w:val="26"/>
          <w:lang w:val="ru-RU"/>
        </w:rPr>
        <w:t xml:space="preserve">ой</w:t>
      </w:r>
      <w:r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ой по переселению граждан из аварийного жилищного фонда, признанного таковым с 1 января 2017 года                    до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 xml:space="preserve">1 января 2022 года, в Челябинской области</w:t>
      </w:r>
      <w:r>
        <w:rPr>
          <w:sz w:val="26"/>
          <w:szCs w:val="26"/>
        </w:rPr>
        <w:t xml:space="preserve">», утвержденной постановлением Правительства Челябинской области от 2</w:t>
      </w:r>
      <w:r>
        <w:rPr>
          <w:sz w:val="26"/>
          <w:szCs w:val="26"/>
          <w:lang w:val="ru-RU"/>
        </w:rPr>
        <w:t xml:space="preserve">7</w:t>
      </w:r>
      <w:r>
        <w:rPr>
          <w:sz w:val="26"/>
          <w:szCs w:val="26"/>
        </w:rPr>
        <w:t xml:space="preserve">.06.2024</w:t>
      </w:r>
      <w:r>
        <w:rPr>
          <w:sz w:val="26"/>
          <w:szCs w:val="26"/>
        </w:rPr>
        <w:t xml:space="preserve"> № </w:t>
      </w:r>
      <w:r>
        <w:rPr>
          <w:sz w:val="26"/>
          <w:szCs w:val="26"/>
          <w:lang w:val="ru-RU"/>
        </w:rPr>
        <w:t xml:space="preserve">399</w:t>
      </w:r>
      <w:r>
        <w:rPr>
          <w:sz w:val="26"/>
          <w:szCs w:val="26"/>
        </w:rPr>
        <w:t xml:space="preserve">-П</w:t>
      </w:r>
      <w:r>
        <w:rPr>
          <w:sz w:val="26"/>
          <w:szCs w:val="26"/>
        </w:rPr>
        <w:t xml:space="preserve">, которые являются продолжением мероприятий, осуществляемых в рамках областно</w:t>
      </w:r>
      <w:r>
        <w:rPr>
          <w:sz w:val="26"/>
          <w:szCs w:val="26"/>
        </w:rPr>
        <w:t xml:space="preserve">й адресной программы «Переселение в 2019-2023 годах граждан из аварийного жилищного фонда в городах и районах Челяб</w:t>
      </w:r>
      <w:r>
        <w:rPr>
          <w:sz w:val="26"/>
          <w:szCs w:val="26"/>
        </w:rPr>
        <w:t xml:space="preserve">инской области», утвержденной постановлением Правительства Челябинской области от 29.03.2019 № 158-П.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</w:r>
      <w:r/>
    </w:p>
    <w:p>
      <w:pPr>
        <w:pStyle w:val="942"/>
        <w:contextualSpacing/>
        <w:ind w:firstLine="709"/>
        <w:jc w:val="both"/>
        <w:spacing w:after="0" w:line="240" w:lineRule="auto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4. Настоящая муниципальная программа направлена на продолжение преобразований в жилищной сфере и обусловлена необходимостью: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30"/>
        </w:numPr>
        <w:ind w:left="0" w:firstLine="698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развития конкуренции на рынке жилья, включая реализацию мер по поддержке жилищного строительства в части обеспечения земельных участков объектами коммунальной инфраструктуры. Поскольку часть земельных участков под жилищное строите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льство будет сформирована и обеспечена объектами коммунальной инфраструктуры на территориях, занимаемых в настоящее время ветхим и аварийным жилищным фондом, мероприятия муниципальной программы будут способствовать решению проблемы ликвидации жилищного фон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да, непригодного для проживания;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numPr>
          <w:ilvl w:val="0"/>
          <w:numId w:val="30"/>
        </w:numPr>
        <w:ind w:left="0" w:firstLine="698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  <w:t xml:space="preserve">повышения доступности жилья для граждан, проживающих в МКД, признанных аварийными и подлежащими сносу.</w:t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/>
    </w:p>
    <w:p>
      <w:pPr>
        <w:pStyle w:val="942"/>
        <w:ind w:left="709" w:firstLine="0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5. Настоящая муниципальная программа действует в рамках: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5"/>
        <w:numPr>
          <w:ilvl w:val="0"/>
          <w:numId w:val="47"/>
        </w:numPr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>
        <w:rPr>
          <w:sz w:val="26"/>
          <w:szCs w:val="26"/>
          <w:lang w:val="ru-RU"/>
        </w:rPr>
        <w:t xml:space="preserve">О</w:t>
      </w:r>
      <w:r>
        <w:rPr>
          <w:sz w:val="26"/>
          <w:szCs w:val="26"/>
        </w:rPr>
        <w:t xml:space="preserve">бластн</w:t>
      </w:r>
      <w:r>
        <w:rPr>
          <w:sz w:val="26"/>
          <w:szCs w:val="26"/>
          <w:lang w:val="ru-RU"/>
        </w:rPr>
        <w:t xml:space="preserve">ой</w:t>
      </w:r>
      <w:r>
        <w:rPr>
          <w:sz w:val="26"/>
          <w:szCs w:val="26"/>
        </w:rPr>
        <w:t xml:space="preserve"> адресн</w:t>
      </w:r>
      <w:r>
        <w:rPr>
          <w:sz w:val="26"/>
          <w:szCs w:val="26"/>
          <w:lang w:val="ru-RU"/>
        </w:rPr>
        <w:t xml:space="preserve">ой</w:t>
      </w:r>
      <w:r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ы по переселению граждан из аварийного жилищного фонда, признанного таковым с 1 января 2017 года                                    до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 xml:space="preserve">1 января 2022 года, в Челябинской области</w:t>
      </w:r>
      <w:r>
        <w:rPr>
          <w:sz w:val="26"/>
          <w:szCs w:val="26"/>
        </w:rPr>
        <w:t xml:space="preserve">, утвержденной постановлением Правительства Челябинской области от 2</w:t>
      </w:r>
      <w:r>
        <w:rPr>
          <w:sz w:val="26"/>
          <w:szCs w:val="26"/>
          <w:lang w:val="ru-RU"/>
        </w:rPr>
        <w:t xml:space="preserve">7</w:t>
      </w:r>
      <w:r>
        <w:rPr>
          <w:sz w:val="26"/>
          <w:szCs w:val="26"/>
        </w:rPr>
        <w:t xml:space="preserve">.06.2024</w:t>
      </w:r>
      <w:r>
        <w:rPr>
          <w:sz w:val="26"/>
          <w:szCs w:val="26"/>
        </w:rPr>
        <w:t xml:space="preserve"> № </w:t>
      </w:r>
      <w:r>
        <w:rPr>
          <w:sz w:val="26"/>
          <w:szCs w:val="26"/>
          <w:lang w:val="ru-RU"/>
        </w:rPr>
        <w:t xml:space="preserve">399</w:t>
      </w:r>
      <w:r>
        <w:rPr>
          <w:sz w:val="26"/>
          <w:szCs w:val="26"/>
        </w:rPr>
        <w:t xml:space="preserve">-П</w:t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  <w:t xml:space="preserve">.</w:t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 Объектом рассмотрения муниципальной программы является жилищный фонд как совокупность жилых помещений многоквартирных домов, признанных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аварийными и подлежащими сносу в период с 01 января 2017 года                                   до 01 января 2022 года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7. Для создания условий улучшения гражданами жилищных условий требуется совершенствование законодательно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й и нормативной правовой базы в жилищном секторе. Необходимость ускоренного перехода к устойчивому функционированию и развитию жилищной сферы определяет целесообразность использования программно-целевого метода для решения указанных проблем, поскольку они: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28"/>
        </w:numPr>
        <w:contextualSpacing/>
        <w:ind w:left="0" w:right="0" w:firstLine="709"/>
        <w:jc w:val="both"/>
        <w:spacing w:after="0" w:line="240" w:lineRule="auto"/>
        <w:tabs>
          <w:tab w:val="clear" w:pos="0" w:leader="none"/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носят межотраслевой и межведомственный характер и не могут быть решены без участия федерального центра;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28"/>
        </w:numPr>
        <w:contextualSpacing/>
        <w:ind w:left="0" w:right="0" w:firstLine="709"/>
        <w:jc w:val="both"/>
        <w:spacing w:after="0" w:line="240" w:lineRule="auto"/>
        <w:tabs>
          <w:tab w:val="clear" w:pos="0" w:leader="none"/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не могут быть решены в пределах одного финансового года и требуют значительных бюджетных расходов до 2030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года включительно;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28"/>
        </w:numPr>
        <w:contextualSpacing/>
        <w:ind w:left="0" w:right="0" w:firstLine="709"/>
        <w:jc w:val="both"/>
        <w:spacing w:after="0" w:line="240" w:lineRule="auto"/>
        <w:tabs>
          <w:tab w:val="clear" w:pos="0" w:leader="none"/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носят комплексный характер, а их решение окажет существенное положительное влияние на социальное благополучие общества, общее экономическое развитие.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 Перечень многоквартирных домов, признанных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аварийными и подлежащих расселению,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приведен в приложении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2 к муниципальной программе.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  <w:lang w:val="en-US"/>
        </w:rPr>
        <w:t xml:space="preserve">III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. Сведения о 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взаимоувязке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со стратегическими приоритетами, 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целями  и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показателями государственных программ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tabs>
          <w:tab w:val="left" w:pos="720" w:leader="none"/>
          <w:tab w:val="left" w:pos="1134" w:leader="none"/>
          <w:tab w:val="left" w:pos="3420" w:leader="none"/>
          <w:tab w:val="left" w:pos="5040" w:leader="none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9.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Цель, задачи и ср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оки реализации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7 мая 2024 года                   № 309, и Единого плана по достижению национальных целе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й развития Российской Федерации на период до 2024 года и на плановый период до 2030 года, утвержденного распоряжением Правительства Российской Федерации                              от 1 октября 2021 г. № 2765-р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</w:t>
      </w:r>
      <w:r/>
    </w:p>
    <w:p>
      <w:pPr>
        <w:pStyle w:val="963"/>
        <w:ind w:left="0" w:right="0" w:firstLine="709"/>
        <w:jc w:val="both"/>
        <w:tabs>
          <w:tab w:val="left" w:pos="1134" w:leader="none"/>
        </w:tabs>
        <w:rPr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В рамках реализации муниципальной программы обеспечена взаимосвязь с национальными целями «Комфортная и безопасная среда для жизни», «Цифровая трансформация государственного и муниципального управления, экономики и социальной сферы», показателями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установленными Указом Президента Российской Федерации от 04.02.2021 г. № 68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а также </w:t>
      </w:r>
      <w:r>
        <w:rPr>
          <w:color w:val="auto"/>
          <w:sz w:val="26"/>
          <w:szCs w:val="26"/>
          <w:shd w:val="clear" w:color="auto" w:fill="ffffff"/>
        </w:rPr>
        <w:t xml:space="preserve">Стратегией социально-экономического развития </w:t>
      </w:r>
      <w:r>
        <w:rPr>
          <w:color w:val="auto"/>
          <w:sz w:val="26"/>
          <w:szCs w:val="26"/>
          <w:shd w:val="clear" w:color="auto" w:fill="ffffff"/>
        </w:rPr>
        <w:t xml:space="preserve">Копейского</w:t>
      </w:r>
      <w:r>
        <w:rPr>
          <w:color w:val="auto"/>
          <w:sz w:val="26"/>
          <w:szCs w:val="26"/>
          <w:shd w:val="clear" w:color="auto" w:fill="ffffff"/>
        </w:rPr>
        <w:t xml:space="preserve"> городского </w:t>
      </w:r>
      <w:r>
        <w:rPr>
          <w:color w:val="auto"/>
          <w:sz w:val="26"/>
          <w:szCs w:val="26"/>
          <w:shd w:val="clear" w:color="auto" w:fill="ffffff"/>
        </w:rPr>
        <w:t xml:space="preserve">округа на</w:t>
      </w:r>
      <w:r>
        <w:rPr>
          <w:color w:val="auto"/>
          <w:sz w:val="26"/>
          <w:szCs w:val="26"/>
          <w:shd w:val="clear" w:color="auto" w:fill="ffffff"/>
        </w:rPr>
        <w:t xml:space="preserve"> период до 2035 года, утвержденной решением Собрания депутатов </w:t>
      </w:r>
      <w:r>
        <w:rPr>
          <w:color w:val="auto"/>
          <w:sz w:val="26"/>
          <w:szCs w:val="26"/>
          <w:shd w:val="clear" w:color="auto" w:fill="ffffff"/>
        </w:rPr>
        <w:t xml:space="preserve">Копейского</w:t>
      </w:r>
      <w:r>
        <w:rPr>
          <w:color w:val="auto"/>
          <w:sz w:val="26"/>
          <w:szCs w:val="26"/>
          <w:shd w:val="clear" w:color="auto" w:fill="ffffff"/>
        </w:rPr>
        <w:t xml:space="preserve"> городского округа от 19.12.2018 № 635-МО</w:t>
      </w:r>
      <w:r>
        <w:rPr>
          <w:color w:val="auto"/>
          <w:sz w:val="26"/>
          <w:szCs w:val="26"/>
          <w:shd w:val="clear" w:color="auto" w:fill="ffffff"/>
        </w:rPr>
        <w:t xml:space="preserve"> (далее – Стратегия)</w:t>
      </w:r>
      <w:r>
        <w:rPr>
          <w:color w:val="auto"/>
          <w:sz w:val="26"/>
          <w:szCs w:val="26"/>
          <w:shd w:val="clear" w:color="auto" w:fill="ffffff"/>
        </w:rPr>
        <w:t xml:space="preserve">. </w:t>
      </w:r>
      <w:r>
        <w:rPr>
          <w:color w:val="auto"/>
          <w:sz w:val="26"/>
          <w:szCs w:val="26"/>
          <w:highlight w:val="none"/>
        </w:rPr>
        <w:t xml:space="preserve">С</w:t>
      </w:r>
      <w:r>
        <w:rPr>
          <w:color w:val="auto"/>
          <w:sz w:val="26"/>
          <w:szCs w:val="26"/>
          <w:shd w:val="clear" w:color="auto" w:fill="ffffff"/>
        </w:rPr>
        <w:t xml:space="preserve">тратегией</w:t>
      </w:r>
      <w:r>
        <w:rPr>
          <w:color w:val="auto"/>
          <w:sz w:val="26"/>
          <w:szCs w:val="26"/>
          <w:shd w:val="clear" w:color="auto" w:fill="ffffff"/>
        </w:rPr>
        <w:t xml:space="preserve"> предусмотрены мероприятия</w:t>
      </w:r>
      <w:r>
        <w:rPr>
          <w:color w:val="auto"/>
          <w:sz w:val="26"/>
          <w:szCs w:val="26"/>
          <w:highlight w:val="none"/>
        </w:rPr>
        <w:t xml:space="preserve"> по ликвидации аварийного жилищного фонда на территории Копейского городского округа. </w:t>
      </w:r>
      <w:r>
        <w:rPr>
          <w:color w:val="auto"/>
          <w:sz w:val="26"/>
          <w:szCs w:val="26"/>
        </w:rPr>
      </w:r>
      <w:r/>
    </w:p>
    <w:p>
      <w:pPr>
        <w:pStyle w:val="963"/>
        <w:ind w:left="0" w:right="0" w:firstLine="709"/>
        <w:jc w:val="both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  <w:highlight w:val="none"/>
        </w:rPr>
        <w:t xml:space="preserve">С целью снижения количества аварийного жилищного фонда Копейский городской округ активно участвует в государственных и областных программах, направленных на переселение граждан из аварийных домов.</w:t>
      </w:r>
      <w:r>
        <w:rPr>
          <w:color w:val="auto"/>
          <w:sz w:val="26"/>
          <w:szCs w:val="26"/>
        </w:rPr>
      </w:r>
      <w:r/>
    </w:p>
    <w:p>
      <w:pPr>
        <w:pStyle w:val="963"/>
        <w:jc w:val="both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/>
    </w:p>
    <w:p>
      <w:pPr>
        <w:pStyle w:val="963"/>
        <w:jc w:val="both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  <w:highlight w:val="none"/>
        </w:rPr>
      </w:r>
      <w:r>
        <w:rPr>
          <w:color w:val="auto"/>
          <w:sz w:val="26"/>
          <w:szCs w:val="26"/>
          <w:highlight w:val="none"/>
        </w:rPr>
      </w:r>
      <w:r/>
    </w:p>
    <w:p>
      <w:pPr>
        <w:ind w:firstLine="709"/>
        <w:jc w:val="both"/>
        <w:tabs>
          <w:tab w:val="left" w:pos="720" w:leader="none"/>
          <w:tab w:val="left" w:pos="1134" w:leader="none"/>
          <w:tab w:val="left" w:pos="3420" w:leader="none"/>
          <w:tab w:val="left" w:pos="5040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10. Основными целями муниципальной программы являются: </w:t>
      </w:r>
      <w:r>
        <w:rPr>
          <w:rFonts w:ascii="Times New Roman" w:hAnsi="Times New Roman" w:cs="Times New Roman"/>
          <w:color w:val="auto"/>
          <w:sz w:val="26"/>
          <w:szCs w:val="26"/>
        </w:rPr>
      </w:r>
      <w:r/>
    </w:p>
    <w:p>
      <w:pPr>
        <w:pStyle w:val="955"/>
        <w:numPr>
          <w:ilvl w:val="0"/>
          <w:numId w:val="48"/>
        </w:numPr>
        <w:ind w:left="0" w:right="0" w:firstLine="709"/>
        <w:jc w:val="both"/>
        <w:tabs>
          <w:tab w:val="left" w:pos="720" w:leader="none"/>
          <w:tab w:val="left" w:pos="1134" w:leader="none"/>
          <w:tab w:val="left" w:pos="3420" w:leader="none"/>
          <w:tab w:val="left" w:pos="5040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создание безопасных и благоуприятных условий проживания в округе;</w:t>
      </w:r>
      <w:r>
        <w:rPr>
          <w:rFonts w:ascii="Times New Roman" w:hAnsi="Times New Roman" w:cs="Times New Roman"/>
          <w:color w:val="auto"/>
          <w:sz w:val="26"/>
          <w:szCs w:val="26"/>
        </w:rPr>
      </w:r>
      <w:r/>
    </w:p>
    <w:p>
      <w:pPr>
        <w:pStyle w:val="955"/>
        <w:numPr>
          <w:ilvl w:val="0"/>
          <w:numId w:val="48"/>
        </w:numPr>
        <w:ind w:left="0" w:right="0" w:firstLine="709"/>
        <w:jc w:val="both"/>
        <w:tabs>
          <w:tab w:val="left" w:pos="720" w:leader="none"/>
          <w:tab w:val="left" w:pos="1134" w:leader="none"/>
          <w:tab w:val="left" w:pos="3420" w:leader="none"/>
          <w:tab w:val="left" w:pos="5040" w:leader="none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уменьшение общей площади помещений </w:t>
      </w:r>
      <w:r>
        <w:rPr>
          <w:sz w:val="26"/>
          <w:szCs w:val="26"/>
        </w:rPr>
        <w:t xml:space="preserve">в жилых домах, расположенных на территории округа и признанных с 1 января 2017 года до 1 января 2022 года в установленном порядке аварийными и подлежащими сносу или реконструкции в связи с физическим износом в процессе его эксплуатации.</w:t>
      </w:r>
      <w:r>
        <w:rPr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>
        <w:rPr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000000"/>
          <w:sz w:val="26"/>
          <w:szCs w:val="26"/>
          <w:highlight w:val="none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  <w:lang w:val="en-US"/>
        </w:rPr>
        <w:t xml:space="preserve">IV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. Задачи муниципального управления, способы их эффективного решения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в</w:t>
      </w:r>
      <w:r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 w:val="0"/>
          <w:color w:val="auto"/>
          <w:spacing w:val="-1"/>
          <w:sz w:val="26"/>
          <w:szCs w:val="26"/>
        </w:rPr>
        <w:t xml:space="preserve">соответствующей отрасли экономики и сфере муниципального управления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rPr>
          <w:rFonts w:ascii="Times New Roman" w:hAnsi="Times New Roman" w:cs="Times New Roman"/>
          <w:color w:val="auto"/>
          <w:spacing w:val="-1"/>
          <w:sz w:val="26"/>
          <w:szCs w:val="26"/>
        </w:rPr>
      </w:pPr>
      <w:r>
        <w:rPr>
          <w:rFonts w:ascii="Times New Roman" w:hAnsi="Times New Roman" w:cs="Times New Roman"/>
          <w:color w:val="auto"/>
          <w:spacing w:val="-1"/>
          <w:sz w:val="26"/>
          <w:szCs w:val="26"/>
        </w:rPr>
      </w:r>
      <w:r>
        <w:rPr>
          <w:rFonts w:ascii="Times New Roman" w:hAnsi="Times New Roman" w:cs="Times New Roman"/>
          <w:color w:val="auto"/>
          <w:spacing w:val="-1"/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11. Для достижения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поставленной цели определены основные задачи муниципальной программы: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38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жилищного фонда, необходимого для переселения граждан из аварийного жилищного фонда. Обеспеч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ение жилищных прав граждан, проживающих в жилых помещениях муниципального жилищного фонда, находящихся в аварийных многоквартирных домах. Обеспечение жилищных прав собственников изымаемых жилых помещений, находящихся в аварийных </w:t>
      </w:r>
      <w:r>
        <w:rPr>
          <w:rFonts w:ascii="Times New Roman" w:hAnsi="Times New Roman" w:cs="Times New Roman"/>
          <w:sz w:val="26"/>
          <w:szCs w:val="26"/>
        </w:rPr>
        <w:t xml:space="preserve">МКД.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38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переселение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жителей МКД, признанных аварийными                                        с 01 января 2017 года до 01 января 2022 года и подлежащих сносу или реконструкции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12. На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 этапе реализации муниципальной программы: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41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 местного самоуправления в порядке, установленном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проводит торги н</w:t>
      </w:r>
      <w:r>
        <w:rPr>
          <w:rFonts w:ascii="Times New Roman" w:hAnsi="Times New Roman" w:cs="Times New Roman"/>
          <w:sz w:val="26"/>
          <w:szCs w:val="26"/>
        </w:rPr>
        <w:t xml:space="preserve">а выполнение работ по строительству жилых многоквартирных домов и домов, перечисленных в пунктах 2 и 3 части 2 статьи 49 Градостроительного кодекса Российской Федерации, или на приобретение у застройщиков жилых помещений в таких домах;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41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 местного самоуправления заключает муниципальные контракты с застройщиками на строительство жилых многоквартирных домов, в том числе долевое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или на приобретение жилых помещений (в том числе путем инвестирования в строительство многоквартирных жилых домов)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в том числе на вторичном рынке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по цене, определяемой в </w:t>
      </w:r>
      <w:r>
        <w:rPr>
          <w:rFonts w:ascii="Times New Roman" w:hAnsi="Times New Roman" w:cs="Times New Roman"/>
          <w:sz w:val="26"/>
          <w:szCs w:val="26"/>
        </w:rPr>
        <w:t xml:space="preserve">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Начальная (максимальная) цена указанных государственных и муниципальных контрактов определяется в соответствии со </w:t>
      </w:r>
      <w:r>
        <w:rPr>
          <w:rFonts w:ascii="Times New Roman" w:hAnsi="Times New Roman" w:cs="Times New Roman"/>
          <w:bCs/>
          <w:sz w:val="26"/>
          <w:szCs w:val="26"/>
        </w:rPr>
        <w:fldChar w:fldCharType="begin"/>
      </w:r>
      <w:r>
        <w:rPr>
          <w:rFonts w:ascii="Times New Roman" w:hAnsi="Times New Roman" w:cs="Times New Roman"/>
          <w:bCs/>
          <w:sz w:val="26"/>
          <w:szCs w:val="26"/>
        </w:rPr>
        <w:instrText xml:space="preserve">HYPERLINK consultantplus://offline/ref=A057DD3D17875C3FB02FA30B3EB6A28CA68CF184A052127EA5E19BC9D87240A833D2ED7B85D96628CCE28B4356FF19B7A368EE2FF085h4GBL </w:instrText>
      </w:r>
      <w:r>
        <w:rPr>
          <w:rFonts w:ascii="Times New Roman" w:hAnsi="Times New Roman" w:cs="Times New Roman"/>
          <w:bCs/>
          <w:sz w:val="26"/>
          <w:szCs w:val="26"/>
        </w:rPr>
        <w:fldChar w:fldCharType="separate"/>
      </w:r>
      <w:r>
        <w:rPr>
          <w:rFonts w:ascii="Times New Roman" w:hAnsi="Times New Roman" w:cs="Times New Roman"/>
          <w:bCs/>
          <w:sz w:val="26"/>
          <w:szCs w:val="26"/>
        </w:rPr>
        <w:t xml:space="preserve">статьей 22</w:t>
      </w:r>
      <w:r>
        <w:rPr>
          <w:rFonts w:ascii="Times New Roman" w:hAnsi="Times New Roman" w:cs="Times New Roman"/>
          <w:bCs/>
          <w:sz w:val="26"/>
          <w:szCs w:val="26"/>
        </w:rPr>
        <w:fldChar w:fldCharType="end"/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sz w:val="26"/>
          <w:szCs w:val="26"/>
        </w:rPr>
      </w:pPr>
      <w:r>
        <w:rPr>
          <w:bCs/>
          <w:sz w:val="26"/>
          <w:szCs w:val="26"/>
        </w:rPr>
        <w:t xml:space="preserve">В случае если стоимость одного квадратного метра превышает цену приобретения жилых помещений, установленную в приложении 2 к </w:t>
      </w:r>
      <w:r>
        <w:rPr>
          <w:sz w:val="26"/>
          <w:szCs w:val="26"/>
          <w:lang w:val="ru-RU"/>
        </w:rPr>
        <w:t xml:space="preserve">О</w:t>
      </w:r>
      <w:r>
        <w:rPr>
          <w:sz w:val="26"/>
          <w:szCs w:val="26"/>
        </w:rPr>
        <w:t xml:space="preserve">бластн</w:t>
      </w:r>
      <w:r>
        <w:rPr>
          <w:sz w:val="26"/>
          <w:szCs w:val="26"/>
          <w:lang w:val="ru-RU"/>
        </w:rPr>
        <w:t xml:space="preserve">ой</w:t>
      </w:r>
      <w:r>
        <w:rPr>
          <w:sz w:val="26"/>
          <w:szCs w:val="26"/>
        </w:rPr>
        <w:t xml:space="preserve"> адресн</w:t>
      </w:r>
      <w:r>
        <w:rPr>
          <w:sz w:val="26"/>
          <w:szCs w:val="26"/>
          <w:lang w:val="ru-RU"/>
        </w:rPr>
        <w:t xml:space="preserve">ой</w:t>
      </w:r>
      <w:r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е по переселению граждан из аварийного жилищного фонда, признанного таковым с 1 января 2017 года до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 xml:space="preserve">1 января 2022 года, в Челябинской области</w:t>
      </w:r>
      <w:r>
        <w:rPr>
          <w:sz w:val="26"/>
          <w:szCs w:val="26"/>
        </w:rPr>
        <w:t xml:space="preserve">, утвержденной постановлением Правительства Челябинской области от 2</w:t>
      </w:r>
      <w:r>
        <w:rPr>
          <w:sz w:val="26"/>
          <w:szCs w:val="26"/>
          <w:lang w:val="ru-RU"/>
        </w:rPr>
        <w:t xml:space="preserve">7</w:t>
      </w:r>
      <w:r>
        <w:rPr>
          <w:sz w:val="26"/>
          <w:szCs w:val="26"/>
        </w:rPr>
        <w:t xml:space="preserve">.06.2024 № </w:t>
      </w:r>
      <w:r>
        <w:rPr>
          <w:sz w:val="26"/>
          <w:szCs w:val="26"/>
          <w:lang w:val="ru-RU"/>
        </w:rPr>
        <w:t xml:space="preserve">399</w:t>
      </w:r>
      <w:r>
        <w:rPr>
          <w:sz w:val="26"/>
          <w:szCs w:val="26"/>
        </w:rPr>
        <w:t xml:space="preserve">-П,</w:t>
      </w:r>
      <w:r>
        <w:rPr>
          <w:bCs/>
          <w:sz w:val="26"/>
          <w:szCs w:val="26"/>
        </w:rPr>
        <w:t xml:space="preserve"> финансирование таких расходов на оплату превышения осуществляется за счет средств областного и (или) местного бюджетов.</w:t>
      </w:r>
      <w:r>
        <w:rPr>
          <w:sz w:val="26"/>
          <w:szCs w:val="26"/>
        </w:rPr>
      </w:r>
      <w:r/>
    </w:p>
    <w:p>
      <w:pPr>
        <w:pStyle w:val="942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предоставления жилого помещения большей площади, чем аварийное, оплата превышения площади осуществляется за счет средств областного и местного бюджетов.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согласии собственника </w:t>
      </w:r>
      <w:r>
        <w:rPr>
          <w:rFonts w:ascii="Times New Roman" w:hAnsi="Times New Roman" w:cs="Times New Roman"/>
          <w:sz w:val="26"/>
          <w:szCs w:val="26"/>
        </w:rPr>
        <w:t xml:space="preserve">с ним заключается соглашение мены (соглашение о предоставлении благоустроенного жилог</w:t>
      </w:r>
      <w:r>
        <w:rPr>
          <w:rFonts w:ascii="Times New Roman" w:hAnsi="Times New Roman" w:cs="Times New Roman"/>
          <w:sz w:val="26"/>
          <w:szCs w:val="26"/>
        </w:rPr>
        <w:t xml:space="preserve">о помещения взамен изымаемого), в соответствии с которым ему предоставляется другое благоустроенное жилое помещение. Предлагаемое и изымаемое жилые помещения признаются равноценными. Доплата за разницу в стоимости обмениваемых жилых помещений не взимается.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Жилые помещения, приобретенные (построенные) в рамках государственных контрактов, передаются из государственной собственности Челябинской области в муниципальную собственность.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13. На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II этапе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организационные мероприятия, осуществляемые органом местного самоуправления, должны быть направлены на: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40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определение рыночной стоимости изымаемого жилого помещения,   находящегося в собственности граждан, в соответствии со статьёй 32 Жилищного кодекса Российской Федерации;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40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заключение с собственниками договоров мены в соответствии с заключенными предварительными соглашениями о предоставлении взамен изымаемых жилых помещений других жилых помещений муниципального    жилищного фонда;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40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нанимателям изымаемых жилых помещений равнозначных жилых помещений по договорам социального найма.  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14. Финансовые мероприя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тия направлены на формирование муниципального жилищного фонда для переселения граждан путем строительства, в том числе долевого, или приобретения квартир (в том числе путем инвестирования в строительство многоквартирных жилых домов) в многоквартирных домах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 том числе на вторичном рынке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 домах,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перечисленных в пунктах 2 и 3 части 2  статьи 49 Градостроительного кодекса Российской Федерации,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для последующего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предоставления жилых помещений для переселения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42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2268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 из занимаемых по договорам социального найма жилых помещений, расположенных в аварийных МКД;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numPr>
          <w:ilvl w:val="0"/>
          <w:numId w:val="42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2268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собственников жилых помещений, расположенных в аварийных МКД.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Жилые помещения предоставляются нанимателям в порядке и на условиях, предусмотренных разделами III и IV Жилищного кодекса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согласии собственника с ним заключается соглашение мены, в соответствии с которым ему предоставляется другое благоустроенное жилое помещение, равноценное освобождаемому жилому помещению.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15. Управление реализацией мероприятий муниципальной программы осуществляет ответственный исполнитель муниципальной программы.</w:t>
      </w:r>
      <w:r>
        <w:rPr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52" w:lineRule="auto"/>
        <w:tabs>
          <w:tab w:val="left" w:pos="1134" w:leader="none"/>
        </w:tabs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Ответственный исполнитель, соисполнители муниципальной программы несут равную ответственность за реализацию мероприятий муниципальной  программы, уточняют сроки реализации мероприятий муниципальной программы и объемы их финансирования.</w:t>
      </w:r>
      <w:r>
        <w:rPr>
          <w:sz w:val="26"/>
          <w:szCs w:val="26"/>
        </w:rPr>
      </w:r>
      <w:r/>
    </w:p>
    <w:p>
      <w:pPr>
        <w:pStyle w:val="942"/>
        <w:ind w:left="0" w:right="0" w:firstLine="709"/>
        <w:jc w:val="both"/>
        <w:spacing w:after="0" w:line="240" w:lineRule="auto"/>
        <w:tabs>
          <w:tab w:val="left" w:pos="1134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Взаимодействие и отчетность осуществляются в соответствии с </w:t>
      </w:r>
      <w:r>
        <w:rPr>
          <w:sz w:val="26"/>
          <w:szCs w:val="26"/>
          <w:lang w:bidi="en-US"/>
        </w:rPr>
        <w:t xml:space="preserve">Порядк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принятия решений о разработке, формировании и реализации муниципальных программ </w:t>
      </w:r>
      <w:r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Порядк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разработки, утверждения, реализации, контроля и проведения оценки эффективности реализации муниципальных програ</w:t>
      </w:r>
      <w:r>
        <w:rPr>
          <w:sz w:val="26"/>
          <w:szCs w:val="26"/>
        </w:rPr>
        <w:t xml:space="preserve">мм Копейского городского округа</w:t>
      </w:r>
      <w:r>
        <w:rPr>
          <w:color w:val="000000"/>
          <w:sz w:val="26"/>
          <w:szCs w:val="26"/>
        </w:rPr>
        <w:t xml:space="preserve">, утвержденн</w:t>
      </w:r>
      <w:r>
        <w:rPr>
          <w:color w:val="000000"/>
          <w:sz w:val="26"/>
          <w:szCs w:val="26"/>
        </w:rPr>
        <w:t xml:space="preserve">ым</w:t>
      </w:r>
      <w:r>
        <w:rPr>
          <w:color w:val="000000"/>
          <w:sz w:val="26"/>
          <w:szCs w:val="26"/>
        </w:rPr>
        <w:t xml:space="preserve"> постановлением администрации </w:t>
      </w:r>
      <w:r>
        <w:rPr>
          <w:color w:val="000000"/>
          <w:sz w:val="26"/>
          <w:szCs w:val="26"/>
        </w:rPr>
        <w:t xml:space="preserve">Копейского </w:t>
      </w:r>
      <w:r>
        <w:rPr>
          <w:color w:val="000000"/>
          <w:sz w:val="26"/>
          <w:szCs w:val="26"/>
        </w:rPr>
        <w:t xml:space="preserve">городского округа от </w:t>
      </w:r>
      <w:r>
        <w:rPr>
          <w:sz w:val="26"/>
          <w:szCs w:val="26"/>
        </w:rPr>
        <w:t xml:space="preserve">25.04.2024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1098-п</w:t>
      </w:r>
      <w:r>
        <w:rPr>
          <w:color w:val="000000"/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pStyle w:val="959"/>
        <w:ind w:left="0" w:right="0" w:firstLine="709"/>
        <w:jc w:val="both"/>
        <w:tabs>
          <w:tab w:val="left" w:pos="1134" w:leader="none"/>
        </w:tabs>
        <w:rPr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Ответственный исполнитель муниципальной программы совместно с соисполнителями готовит отчеты о ходе реал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изации муниципальной программы согласно Порядку р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азработки, утверждения, реализации, контроля и проведения  оценки эффективности реализации муниципальных программ Копейского городского округа, и направляет в управление экономического развития территории городского округа администрации городского округа. </w:t>
      </w:r>
      <w:r>
        <w:rPr>
          <w:sz w:val="26"/>
          <w:szCs w:val="26"/>
        </w:rPr>
      </w:r>
      <w:r/>
    </w:p>
    <w:p>
      <w:pPr>
        <w:ind w:firstLine="709"/>
        <w:jc w:val="both"/>
        <w:rPr>
          <w:rFonts w:ascii="Times New Roman" w:hAnsi="Times New Roman" w:cs="Times New Roman"/>
          <w:color w:val="auto"/>
          <w:spacing w:val="-1"/>
          <w:sz w:val="26"/>
          <w:szCs w:val="26"/>
        </w:rPr>
      </w:pPr>
      <w:r>
        <w:rPr>
          <w:rFonts w:ascii="Times New Roman" w:hAnsi="Times New Roman" w:cs="Times New Roman"/>
          <w:color w:val="auto"/>
          <w:spacing w:val="-1"/>
          <w:sz w:val="26"/>
          <w:szCs w:val="26"/>
        </w:rPr>
      </w:r>
      <w:r>
        <w:rPr>
          <w:rFonts w:ascii="Times New Roman" w:hAnsi="Times New Roman" w:cs="Times New Roman"/>
          <w:color w:val="auto"/>
          <w:spacing w:val="-1"/>
          <w:sz w:val="26"/>
          <w:szCs w:val="26"/>
        </w:rPr>
      </w:r>
      <w:r/>
    </w:p>
    <w:p>
      <w:pPr>
        <w:ind w:left="-142" w:firstLine="142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Adobe Fangsong Std R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284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Adobe Fangsong Std R" w:cs="Times New Roman"/>
          <w:color w:val="auto"/>
          <w:sz w:val="26"/>
          <w:szCs w:val="26"/>
        </w:rPr>
        <w:t xml:space="preserve">Начальник отдела жилищной политики                                                        И.Д. Саевская</w:t>
      </w:r>
      <w:r>
        <w:rPr>
          <w:rFonts w:ascii="Times New Roman" w:hAnsi="Times New Roman" w:cs="Times New Roman"/>
          <w:sz w:val="26"/>
          <w:szCs w:val="26"/>
        </w:rPr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851" w:right="850" w:bottom="1134" w:left="1701" w:header="680" w:footer="68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</w:font>
  <w:font w:name="Wingdings">
    <w:panose1 w:val="05000000000000000000"/>
  </w:font>
  <w:font w:name="Adobe Fangsong Std R">
    <w:panose1 w:val="05050102010205020202"/>
  </w:font>
  <w:font w:name="Symbol">
    <w:panose1 w:val="05050102010706020507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070794289"/>
      <w:docPartObj>
        <w:docPartGallery w:val="Page Numbers (Top of Page)"/>
        <w:docPartUnique w:val="true"/>
      </w:docPartObj>
      <w:rPr/>
    </w:sdtPr>
    <w:sdtContent>
      <w:p>
        <w:pPr>
          <w:pStyle w:val="94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5</w:t>
        </w:r>
        <w:r>
          <w:fldChar w:fldCharType="end"/>
        </w:r>
        <w:r/>
      </w:p>
    </w:sdtContent>
  </w:sdt>
  <w:p>
    <w:pPr>
      <w:pStyle w:val="94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jc w:val="center"/>
    </w:pPr>
    <w:r/>
    <w:r/>
  </w:p>
  <w:p>
    <w:pPr>
      <w:pStyle w:val="94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10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5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42"/>
        <w:ind w:left="2149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2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42"/>
      <w:isLgl w:val="false"/>
      <w:suff w:val="tab"/>
      <w:lvlText w:val="%2."/>
      <w:lvlJc w:val="left"/>
      <w:pPr>
        <w:pStyle w:val="942"/>
        <w:ind w:left="1789" w:hanging="360"/>
      </w:pPr>
    </w:lvl>
    <w:lvl w:ilvl="2">
      <w:start w:val="1"/>
      <w:numFmt w:val="lowerRoman"/>
      <w:pStyle w:val="942"/>
      <w:isLgl w:val="false"/>
      <w:suff w:val="tab"/>
      <w:lvlText w:val="%3."/>
      <w:lvlJc w:val="right"/>
      <w:pPr>
        <w:pStyle w:val="942"/>
        <w:ind w:left="2509" w:hanging="180"/>
      </w:pPr>
    </w:lvl>
    <w:lvl w:ilvl="3">
      <w:start w:val="1"/>
      <w:numFmt w:val="decimal"/>
      <w:pStyle w:val="942"/>
      <w:isLgl w:val="false"/>
      <w:suff w:val="tab"/>
      <w:lvlText w:val="%4."/>
      <w:lvlJc w:val="left"/>
      <w:pPr>
        <w:pStyle w:val="942"/>
        <w:ind w:left="3229" w:hanging="360"/>
      </w:pPr>
    </w:lvl>
    <w:lvl w:ilvl="4">
      <w:start w:val="1"/>
      <w:numFmt w:val="lowerLetter"/>
      <w:pStyle w:val="942"/>
      <w:isLgl w:val="false"/>
      <w:suff w:val="tab"/>
      <w:lvlText w:val="%5."/>
      <w:lvlJc w:val="left"/>
      <w:pPr>
        <w:pStyle w:val="942"/>
        <w:ind w:left="3949" w:hanging="360"/>
      </w:pPr>
    </w:lvl>
    <w:lvl w:ilvl="5">
      <w:start w:val="1"/>
      <w:numFmt w:val="lowerRoman"/>
      <w:pStyle w:val="942"/>
      <w:isLgl w:val="false"/>
      <w:suff w:val="tab"/>
      <w:lvlText w:val="%6."/>
      <w:lvlJc w:val="right"/>
      <w:pPr>
        <w:pStyle w:val="942"/>
        <w:ind w:left="4669" w:hanging="180"/>
      </w:pPr>
    </w:lvl>
    <w:lvl w:ilvl="6">
      <w:start w:val="1"/>
      <w:numFmt w:val="decimal"/>
      <w:pStyle w:val="942"/>
      <w:isLgl w:val="false"/>
      <w:suff w:val="tab"/>
      <w:lvlText w:val="%7."/>
      <w:lvlJc w:val="left"/>
      <w:pPr>
        <w:pStyle w:val="942"/>
        <w:ind w:left="5389" w:hanging="360"/>
      </w:pPr>
    </w:lvl>
    <w:lvl w:ilvl="7">
      <w:start w:val="1"/>
      <w:numFmt w:val="lowerLetter"/>
      <w:pStyle w:val="942"/>
      <w:isLgl w:val="false"/>
      <w:suff w:val="tab"/>
      <w:lvlText w:val="%8."/>
      <w:lvlJc w:val="left"/>
      <w:pPr>
        <w:pStyle w:val="942"/>
        <w:ind w:left="6109" w:hanging="360"/>
      </w:pPr>
    </w:lvl>
    <w:lvl w:ilvl="8">
      <w:start w:val="1"/>
      <w:numFmt w:val="lowerRoman"/>
      <w:pStyle w:val="942"/>
      <w:isLgl w:val="false"/>
      <w:suff w:val="tab"/>
      <w:lvlText w:val="%9."/>
      <w:lvlJc w:val="right"/>
      <w:pPr>
        <w:pStyle w:val="942"/>
        <w:ind w:left="6829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42"/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42"/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42"/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42"/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42"/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42"/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42"/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42"/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42"/>
        <w:ind w:left="7189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2"/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42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2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2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2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2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2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2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2"/>
        <w:ind w:left="682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2"/>
        <w:ind w:left="1571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2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2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42"/>
      <w:isLgl w:val="false"/>
      <w:suff w:val="tab"/>
      <w:lvlText w:val="%2."/>
      <w:lvlJc w:val="left"/>
      <w:pPr>
        <w:pStyle w:val="942"/>
        <w:ind w:left="1789" w:hanging="360"/>
      </w:pPr>
    </w:lvl>
    <w:lvl w:ilvl="2">
      <w:start w:val="1"/>
      <w:numFmt w:val="lowerRoman"/>
      <w:pStyle w:val="942"/>
      <w:isLgl w:val="false"/>
      <w:suff w:val="tab"/>
      <w:lvlText w:val="%3."/>
      <w:lvlJc w:val="right"/>
      <w:pPr>
        <w:pStyle w:val="942"/>
        <w:ind w:left="2509" w:hanging="180"/>
      </w:pPr>
    </w:lvl>
    <w:lvl w:ilvl="3">
      <w:start w:val="1"/>
      <w:numFmt w:val="decimal"/>
      <w:pStyle w:val="942"/>
      <w:isLgl w:val="false"/>
      <w:suff w:val="tab"/>
      <w:lvlText w:val="%4."/>
      <w:lvlJc w:val="left"/>
      <w:pPr>
        <w:pStyle w:val="942"/>
        <w:ind w:left="3229" w:hanging="360"/>
      </w:pPr>
    </w:lvl>
    <w:lvl w:ilvl="4">
      <w:start w:val="1"/>
      <w:numFmt w:val="lowerLetter"/>
      <w:pStyle w:val="942"/>
      <w:isLgl w:val="false"/>
      <w:suff w:val="tab"/>
      <w:lvlText w:val="%5."/>
      <w:lvlJc w:val="left"/>
      <w:pPr>
        <w:pStyle w:val="942"/>
        <w:ind w:left="3949" w:hanging="360"/>
      </w:pPr>
    </w:lvl>
    <w:lvl w:ilvl="5">
      <w:start w:val="1"/>
      <w:numFmt w:val="lowerRoman"/>
      <w:pStyle w:val="942"/>
      <w:isLgl w:val="false"/>
      <w:suff w:val="tab"/>
      <w:lvlText w:val="%6."/>
      <w:lvlJc w:val="right"/>
      <w:pPr>
        <w:pStyle w:val="942"/>
        <w:ind w:left="4669" w:hanging="180"/>
      </w:pPr>
    </w:lvl>
    <w:lvl w:ilvl="6">
      <w:start w:val="1"/>
      <w:numFmt w:val="decimal"/>
      <w:pStyle w:val="942"/>
      <w:isLgl w:val="false"/>
      <w:suff w:val="tab"/>
      <w:lvlText w:val="%7."/>
      <w:lvlJc w:val="left"/>
      <w:pPr>
        <w:pStyle w:val="942"/>
        <w:ind w:left="5389" w:hanging="360"/>
      </w:pPr>
    </w:lvl>
    <w:lvl w:ilvl="7">
      <w:start w:val="1"/>
      <w:numFmt w:val="lowerLetter"/>
      <w:pStyle w:val="942"/>
      <w:isLgl w:val="false"/>
      <w:suff w:val="tab"/>
      <w:lvlText w:val="%8."/>
      <w:lvlJc w:val="left"/>
      <w:pPr>
        <w:pStyle w:val="942"/>
        <w:ind w:left="6109" w:hanging="360"/>
      </w:pPr>
    </w:lvl>
    <w:lvl w:ilvl="8">
      <w:start w:val="1"/>
      <w:numFmt w:val="lowerRoman"/>
      <w:pStyle w:val="942"/>
      <w:isLgl w:val="false"/>
      <w:suff w:val="tab"/>
      <w:lvlText w:val="%9."/>
      <w:lvlJc w:val="right"/>
      <w:pPr>
        <w:pStyle w:val="942"/>
        <w:ind w:left="682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2"/>
        <w:ind w:left="1571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42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2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42"/>
      <w:isLgl w:val="false"/>
      <w:suff w:val="tab"/>
      <w:lvlText w:val="%2."/>
      <w:lvlJc w:val="left"/>
      <w:pPr>
        <w:pStyle w:val="942"/>
        <w:ind w:left="1789" w:hanging="360"/>
      </w:pPr>
    </w:lvl>
    <w:lvl w:ilvl="2">
      <w:start w:val="1"/>
      <w:numFmt w:val="lowerRoman"/>
      <w:pStyle w:val="942"/>
      <w:isLgl w:val="false"/>
      <w:suff w:val="tab"/>
      <w:lvlText w:val="%3."/>
      <w:lvlJc w:val="right"/>
      <w:pPr>
        <w:pStyle w:val="942"/>
        <w:ind w:left="2509" w:hanging="180"/>
      </w:pPr>
    </w:lvl>
    <w:lvl w:ilvl="3">
      <w:start w:val="1"/>
      <w:numFmt w:val="decimal"/>
      <w:pStyle w:val="942"/>
      <w:isLgl w:val="false"/>
      <w:suff w:val="tab"/>
      <w:lvlText w:val="%4."/>
      <w:lvlJc w:val="left"/>
      <w:pPr>
        <w:pStyle w:val="942"/>
        <w:ind w:left="3229" w:hanging="360"/>
      </w:pPr>
    </w:lvl>
    <w:lvl w:ilvl="4">
      <w:start w:val="1"/>
      <w:numFmt w:val="lowerLetter"/>
      <w:pStyle w:val="942"/>
      <w:isLgl w:val="false"/>
      <w:suff w:val="tab"/>
      <w:lvlText w:val="%5."/>
      <w:lvlJc w:val="left"/>
      <w:pPr>
        <w:pStyle w:val="942"/>
        <w:ind w:left="3949" w:hanging="360"/>
      </w:pPr>
    </w:lvl>
    <w:lvl w:ilvl="5">
      <w:start w:val="1"/>
      <w:numFmt w:val="lowerRoman"/>
      <w:pStyle w:val="942"/>
      <w:isLgl w:val="false"/>
      <w:suff w:val="tab"/>
      <w:lvlText w:val="%6."/>
      <w:lvlJc w:val="right"/>
      <w:pPr>
        <w:pStyle w:val="942"/>
        <w:ind w:left="4669" w:hanging="180"/>
      </w:pPr>
    </w:lvl>
    <w:lvl w:ilvl="6">
      <w:start w:val="1"/>
      <w:numFmt w:val="decimal"/>
      <w:pStyle w:val="942"/>
      <w:isLgl w:val="false"/>
      <w:suff w:val="tab"/>
      <w:lvlText w:val="%7."/>
      <w:lvlJc w:val="left"/>
      <w:pPr>
        <w:pStyle w:val="942"/>
        <w:ind w:left="5389" w:hanging="360"/>
      </w:pPr>
    </w:lvl>
    <w:lvl w:ilvl="7">
      <w:start w:val="1"/>
      <w:numFmt w:val="lowerLetter"/>
      <w:pStyle w:val="942"/>
      <w:isLgl w:val="false"/>
      <w:suff w:val="tab"/>
      <w:lvlText w:val="%8."/>
      <w:lvlJc w:val="left"/>
      <w:pPr>
        <w:pStyle w:val="942"/>
        <w:ind w:left="6109" w:hanging="360"/>
      </w:pPr>
    </w:lvl>
    <w:lvl w:ilvl="8">
      <w:start w:val="1"/>
      <w:numFmt w:val="lowerRoman"/>
      <w:pStyle w:val="942"/>
      <w:isLgl w:val="false"/>
      <w:suff w:val="tab"/>
      <w:lvlText w:val="%9."/>
      <w:lvlJc w:val="right"/>
      <w:pPr>
        <w:pStyle w:val="942"/>
        <w:ind w:left="6829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42"/>
        <w:ind w:left="720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42"/>
        <w:ind w:left="2149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42"/>
        <w:ind w:left="1429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2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42"/>
      <w:isLgl w:val="false"/>
      <w:suff w:val="tab"/>
      <w:lvlText w:val="%2."/>
      <w:lvlJc w:val="left"/>
      <w:pPr>
        <w:pStyle w:val="942"/>
        <w:ind w:left="1789" w:hanging="360"/>
      </w:pPr>
    </w:lvl>
    <w:lvl w:ilvl="2">
      <w:start w:val="1"/>
      <w:numFmt w:val="lowerRoman"/>
      <w:pStyle w:val="942"/>
      <w:isLgl w:val="false"/>
      <w:suff w:val="tab"/>
      <w:lvlText w:val="%3."/>
      <w:lvlJc w:val="right"/>
      <w:pPr>
        <w:pStyle w:val="942"/>
        <w:ind w:left="2509" w:hanging="180"/>
      </w:pPr>
    </w:lvl>
    <w:lvl w:ilvl="3">
      <w:start w:val="1"/>
      <w:numFmt w:val="decimal"/>
      <w:pStyle w:val="942"/>
      <w:isLgl w:val="false"/>
      <w:suff w:val="tab"/>
      <w:lvlText w:val="%4."/>
      <w:lvlJc w:val="left"/>
      <w:pPr>
        <w:pStyle w:val="942"/>
        <w:ind w:left="3229" w:hanging="360"/>
      </w:pPr>
    </w:lvl>
    <w:lvl w:ilvl="4">
      <w:start w:val="1"/>
      <w:numFmt w:val="lowerLetter"/>
      <w:pStyle w:val="942"/>
      <w:isLgl w:val="false"/>
      <w:suff w:val="tab"/>
      <w:lvlText w:val="%5."/>
      <w:lvlJc w:val="left"/>
      <w:pPr>
        <w:pStyle w:val="942"/>
        <w:ind w:left="3949" w:hanging="360"/>
      </w:pPr>
    </w:lvl>
    <w:lvl w:ilvl="5">
      <w:start w:val="1"/>
      <w:numFmt w:val="lowerRoman"/>
      <w:pStyle w:val="942"/>
      <w:isLgl w:val="false"/>
      <w:suff w:val="tab"/>
      <w:lvlText w:val="%6."/>
      <w:lvlJc w:val="right"/>
      <w:pPr>
        <w:pStyle w:val="942"/>
        <w:ind w:left="4669" w:hanging="180"/>
      </w:pPr>
    </w:lvl>
    <w:lvl w:ilvl="6">
      <w:start w:val="1"/>
      <w:numFmt w:val="decimal"/>
      <w:pStyle w:val="942"/>
      <w:isLgl w:val="false"/>
      <w:suff w:val="tab"/>
      <w:lvlText w:val="%7."/>
      <w:lvlJc w:val="left"/>
      <w:pPr>
        <w:pStyle w:val="942"/>
        <w:ind w:left="5389" w:hanging="360"/>
      </w:pPr>
    </w:lvl>
    <w:lvl w:ilvl="7">
      <w:start w:val="1"/>
      <w:numFmt w:val="lowerLetter"/>
      <w:pStyle w:val="942"/>
      <w:isLgl w:val="false"/>
      <w:suff w:val="tab"/>
      <w:lvlText w:val="%8."/>
      <w:lvlJc w:val="left"/>
      <w:pPr>
        <w:pStyle w:val="942"/>
        <w:ind w:left="6109" w:hanging="360"/>
      </w:pPr>
    </w:lvl>
    <w:lvl w:ilvl="8">
      <w:start w:val="1"/>
      <w:numFmt w:val="lowerRoman"/>
      <w:pStyle w:val="942"/>
      <w:isLgl w:val="false"/>
      <w:suff w:val="tab"/>
      <w:lvlText w:val="%9."/>
      <w:lvlJc w:val="right"/>
      <w:pPr>
        <w:pStyle w:val="942"/>
        <w:ind w:left="682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2"/>
        <w:ind w:left="1779" w:hanging="360"/>
      </w:pPr>
      <w:rPr>
        <w:rFonts w:cs="Times New Roman"/>
        <w:szCs w:val="28"/>
      </w:rPr>
    </w:lvl>
    <w:lvl w:ilvl="1">
      <w:start w:val="1"/>
      <w:numFmt w:val="lowerLetter"/>
      <w:pStyle w:val="942"/>
      <w:isLgl w:val="false"/>
      <w:suff w:val="tab"/>
      <w:lvlText w:val="%2."/>
      <w:lvlJc w:val="left"/>
      <w:pPr>
        <w:pStyle w:val="942"/>
        <w:ind w:left="1789" w:hanging="360"/>
      </w:pPr>
    </w:lvl>
    <w:lvl w:ilvl="2">
      <w:start w:val="1"/>
      <w:numFmt w:val="lowerRoman"/>
      <w:pStyle w:val="942"/>
      <w:isLgl w:val="false"/>
      <w:suff w:val="tab"/>
      <w:lvlText w:val="%3."/>
      <w:lvlJc w:val="right"/>
      <w:pPr>
        <w:pStyle w:val="942"/>
        <w:ind w:left="2509" w:hanging="180"/>
      </w:pPr>
    </w:lvl>
    <w:lvl w:ilvl="3">
      <w:start w:val="1"/>
      <w:numFmt w:val="decimal"/>
      <w:pStyle w:val="942"/>
      <w:isLgl w:val="false"/>
      <w:suff w:val="tab"/>
      <w:lvlText w:val="%4."/>
      <w:lvlJc w:val="left"/>
      <w:pPr>
        <w:pStyle w:val="942"/>
        <w:ind w:left="3229" w:hanging="360"/>
      </w:pPr>
    </w:lvl>
    <w:lvl w:ilvl="4">
      <w:start w:val="1"/>
      <w:numFmt w:val="lowerLetter"/>
      <w:pStyle w:val="942"/>
      <w:isLgl w:val="false"/>
      <w:suff w:val="tab"/>
      <w:lvlText w:val="%5."/>
      <w:lvlJc w:val="left"/>
      <w:pPr>
        <w:pStyle w:val="942"/>
        <w:ind w:left="3949" w:hanging="360"/>
      </w:pPr>
    </w:lvl>
    <w:lvl w:ilvl="5">
      <w:start w:val="1"/>
      <w:numFmt w:val="lowerRoman"/>
      <w:pStyle w:val="942"/>
      <w:isLgl w:val="false"/>
      <w:suff w:val="tab"/>
      <w:lvlText w:val="%6."/>
      <w:lvlJc w:val="right"/>
      <w:pPr>
        <w:pStyle w:val="942"/>
        <w:ind w:left="4669" w:hanging="180"/>
      </w:pPr>
    </w:lvl>
    <w:lvl w:ilvl="6">
      <w:start w:val="1"/>
      <w:numFmt w:val="decimal"/>
      <w:pStyle w:val="942"/>
      <w:isLgl w:val="false"/>
      <w:suff w:val="tab"/>
      <w:lvlText w:val="%7."/>
      <w:lvlJc w:val="left"/>
      <w:pPr>
        <w:pStyle w:val="942"/>
        <w:ind w:left="5389" w:hanging="360"/>
      </w:pPr>
    </w:lvl>
    <w:lvl w:ilvl="7">
      <w:start w:val="1"/>
      <w:numFmt w:val="lowerLetter"/>
      <w:pStyle w:val="942"/>
      <w:isLgl w:val="false"/>
      <w:suff w:val="tab"/>
      <w:lvlText w:val="%8."/>
      <w:lvlJc w:val="left"/>
      <w:pPr>
        <w:pStyle w:val="942"/>
        <w:ind w:left="6109" w:hanging="360"/>
      </w:pPr>
    </w:lvl>
    <w:lvl w:ilvl="8">
      <w:start w:val="1"/>
      <w:numFmt w:val="lowerRoman"/>
      <w:pStyle w:val="942"/>
      <w:isLgl w:val="false"/>
      <w:suff w:val="tab"/>
      <w:lvlText w:val="%9."/>
      <w:lvlJc w:val="right"/>
      <w:pPr>
        <w:pStyle w:val="942"/>
        <w:ind w:left="6829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42"/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pStyle w:val="942"/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42"/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42"/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42"/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42"/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42"/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42"/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42"/>
        <w:ind w:left="6840" w:hanging="18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12"/>
  </w:num>
  <w:num w:numId="5">
    <w:abstractNumId w:val="20"/>
  </w:num>
  <w:num w:numId="6">
    <w:abstractNumId w:val="19"/>
  </w:num>
  <w:num w:numId="7">
    <w:abstractNumId w:val="16"/>
  </w:num>
  <w:num w:numId="8">
    <w:abstractNumId w:val="24"/>
  </w:num>
  <w:num w:numId="9">
    <w:abstractNumId w:val="9"/>
  </w:num>
  <w:num w:numId="10">
    <w:abstractNumId w:val="13"/>
  </w:num>
  <w:num w:numId="11">
    <w:abstractNumId w:val="23"/>
  </w:num>
  <w:num w:numId="12">
    <w:abstractNumId w:val="2"/>
  </w:num>
  <w:num w:numId="13">
    <w:abstractNumId w:val="8"/>
  </w:num>
  <w:num w:numId="14">
    <w:abstractNumId w:val="15"/>
  </w:num>
  <w:num w:numId="15">
    <w:abstractNumId w:val="18"/>
  </w:num>
  <w:num w:numId="16">
    <w:abstractNumId w:val="6"/>
  </w:num>
  <w:num w:numId="17">
    <w:abstractNumId w:val="22"/>
  </w:num>
  <w:num w:numId="18">
    <w:abstractNumId w:val="4"/>
  </w:num>
  <w:num w:numId="19">
    <w:abstractNumId w:val="5"/>
  </w:num>
  <w:num w:numId="20">
    <w:abstractNumId w:val="0"/>
  </w:num>
  <w:num w:numId="21">
    <w:abstractNumId w:val="17"/>
  </w:num>
  <w:num w:numId="22">
    <w:abstractNumId w:val="7"/>
  </w:num>
  <w:num w:numId="23">
    <w:abstractNumId w:val="14"/>
  </w:num>
  <w:num w:numId="24">
    <w:abstractNumId w:val="1"/>
  </w:num>
  <w:num w:numId="25">
    <w:abstractNumId w:val="10"/>
  </w:num>
  <w:num w:numId="26">
    <w:abstractNumId w:val="3"/>
  </w:num>
  <w:num w:numId="27">
    <w:abstractNumId w:val="21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0">
    <w:name w:val="Heading 1"/>
    <w:basedOn w:val="942"/>
    <w:next w:val="942"/>
    <w:link w:val="7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1">
    <w:name w:val="Heading 1 Char"/>
    <w:basedOn w:val="943"/>
    <w:link w:val="770"/>
    <w:uiPriority w:val="9"/>
    <w:rPr>
      <w:rFonts w:ascii="Arial" w:hAnsi="Arial" w:eastAsia="Arial" w:cs="Arial"/>
      <w:sz w:val="40"/>
      <w:szCs w:val="40"/>
    </w:rPr>
  </w:style>
  <w:style w:type="paragraph" w:styleId="772">
    <w:name w:val="Heading 2"/>
    <w:basedOn w:val="942"/>
    <w:next w:val="942"/>
    <w:link w:val="7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3">
    <w:name w:val="Heading 2 Char"/>
    <w:basedOn w:val="943"/>
    <w:link w:val="772"/>
    <w:uiPriority w:val="9"/>
    <w:rPr>
      <w:rFonts w:ascii="Arial" w:hAnsi="Arial" w:eastAsia="Arial" w:cs="Arial"/>
      <w:sz w:val="34"/>
    </w:rPr>
  </w:style>
  <w:style w:type="paragraph" w:styleId="774">
    <w:name w:val="Heading 3"/>
    <w:basedOn w:val="942"/>
    <w:next w:val="942"/>
    <w:link w:val="7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5">
    <w:name w:val="Heading 3 Char"/>
    <w:basedOn w:val="943"/>
    <w:link w:val="774"/>
    <w:uiPriority w:val="9"/>
    <w:rPr>
      <w:rFonts w:ascii="Arial" w:hAnsi="Arial" w:eastAsia="Arial" w:cs="Arial"/>
      <w:sz w:val="30"/>
      <w:szCs w:val="30"/>
    </w:rPr>
  </w:style>
  <w:style w:type="paragraph" w:styleId="776">
    <w:name w:val="Heading 4"/>
    <w:basedOn w:val="942"/>
    <w:next w:val="942"/>
    <w:link w:val="7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7">
    <w:name w:val="Heading 4 Char"/>
    <w:basedOn w:val="943"/>
    <w:link w:val="776"/>
    <w:uiPriority w:val="9"/>
    <w:rPr>
      <w:rFonts w:ascii="Arial" w:hAnsi="Arial" w:eastAsia="Arial" w:cs="Arial"/>
      <w:b/>
      <w:bCs/>
      <w:sz w:val="26"/>
      <w:szCs w:val="26"/>
    </w:rPr>
  </w:style>
  <w:style w:type="paragraph" w:styleId="778">
    <w:name w:val="Heading 5"/>
    <w:basedOn w:val="942"/>
    <w:next w:val="942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9">
    <w:name w:val="Heading 5 Char"/>
    <w:basedOn w:val="943"/>
    <w:link w:val="778"/>
    <w:uiPriority w:val="9"/>
    <w:rPr>
      <w:rFonts w:ascii="Arial" w:hAnsi="Arial" w:eastAsia="Arial" w:cs="Arial"/>
      <w:b/>
      <w:bCs/>
      <w:sz w:val="24"/>
      <w:szCs w:val="24"/>
    </w:rPr>
  </w:style>
  <w:style w:type="paragraph" w:styleId="780">
    <w:name w:val="Heading 6"/>
    <w:basedOn w:val="942"/>
    <w:next w:val="942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1">
    <w:name w:val="Heading 6 Char"/>
    <w:basedOn w:val="943"/>
    <w:link w:val="780"/>
    <w:uiPriority w:val="9"/>
    <w:rPr>
      <w:rFonts w:ascii="Arial" w:hAnsi="Arial" w:eastAsia="Arial" w:cs="Arial"/>
      <w:b/>
      <w:bCs/>
      <w:sz w:val="22"/>
      <w:szCs w:val="22"/>
    </w:rPr>
  </w:style>
  <w:style w:type="paragraph" w:styleId="782">
    <w:name w:val="Heading 7"/>
    <w:basedOn w:val="942"/>
    <w:next w:val="942"/>
    <w:link w:val="7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3">
    <w:name w:val="Heading 7 Char"/>
    <w:basedOn w:val="943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4">
    <w:name w:val="Heading 8"/>
    <w:basedOn w:val="942"/>
    <w:next w:val="942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5">
    <w:name w:val="Heading 8 Char"/>
    <w:basedOn w:val="943"/>
    <w:link w:val="784"/>
    <w:uiPriority w:val="9"/>
    <w:rPr>
      <w:rFonts w:ascii="Arial" w:hAnsi="Arial" w:eastAsia="Arial" w:cs="Arial"/>
      <w:i/>
      <w:iCs/>
      <w:sz w:val="22"/>
      <w:szCs w:val="22"/>
    </w:rPr>
  </w:style>
  <w:style w:type="paragraph" w:styleId="786">
    <w:name w:val="Heading 9"/>
    <w:basedOn w:val="942"/>
    <w:next w:val="942"/>
    <w:link w:val="7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7">
    <w:name w:val="Heading 9 Char"/>
    <w:basedOn w:val="943"/>
    <w:link w:val="786"/>
    <w:uiPriority w:val="9"/>
    <w:rPr>
      <w:rFonts w:ascii="Arial" w:hAnsi="Arial" w:eastAsia="Arial" w:cs="Arial"/>
      <w:i/>
      <w:iCs/>
      <w:sz w:val="21"/>
      <w:szCs w:val="21"/>
    </w:rPr>
  </w:style>
  <w:style w:type="paragraph" w:styleId="788">
    <w:name w:val="Title"/>
    <w:basedOn w:val="942"/>
    <w:next w:val="942"/>
    <w:link w:val="7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9">
    <w:name w:val="Title Char"/>
    <w:basedOn w:val="943"/>
    <w:link w:val="788"/>
    <w:uiPriority w:val="10"/>
    <w:rPr>
      <w:sz w:val="48"/>
      <w:szCs w:val="48"/>
    </w:rPr>
  </w:style>
  <w:style w:type="paragraph" w:styleId="790">
    <w:name w:val="Subtitle"/>
    <w:basedOn w:val="942"/>
    <w:next w:val="942"/>
    <w:link w:val="791"/>
    <w:uiPriority w:val="11"/>
    <w:qFormat/>
    <w:pPr>
      <w:spacing w:before="200" w:after="200"/>
    </w:pPr>
    <w:rPr>
      <w:sz w:val="24"/>
      <w:szCs w:val="24"/>
    </w:rPr>
  </w:style>
  <w:style w:type="character" w:styleId="791">
    <w:name w:val="Subtitle Char"/>
    <w:basedOn w:val="943"/>
    <w:link w:val="790"/>
    <w:uiPriority w:val="11"/>
    <w:rPr>
      <w:sz w:val="24"/>
      <w:szCs w:val="24"/>
    </w:rPr>
  </w:style>
  <w:style w:type="paragraph" w:styleId="792">
    <w:name w:val="Quote"/>
    <w:basedOn w:val="942"/>
    <w:next w:val="942"/>
    <w:link w:val="793"/>
    <w:uiPriority w:val="29"/>
    <w:qFormat/>
    <w:pPr>
      <w:ind w:left="720" w:right="720"/>
    </w:pPr>
    <w:rPr>
      <w:i/>
    </w:rPr>
  </w:style>
  <w:style w:type="character" w:styleId="793">
    <w:name w:val="Quote Char"/>
    <w:link w:val="792"/>
    <w:uiPriority w:val="29"/>
    <w:rPr>
      <w:i/>
    </w:rPr>
  </w:style>
  <w:style w:type="paragraph" w:styleId="794">
    <w:name w:val="Intense Quote"/>
    <w:basedOn w:val="942"/>
    <w:next w:val="942"/>
    <w:link w:val="7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5">
    <w:name w:val="Intense Quote Char"/>
    <w:link w:val="794"/>
    <w:uiPriority w:val="30"/>
    <w:rPr>
      <w:i/>
    </w:rPr>
  </w:style>
  <w:style w:type="character" w:styleId="796">
    <w:name w:val="Header Char"/>
    <w:basedOn w:val="943"/>
    <w:link w:val="947"/>
    <w:uiPriority w:val="99"/>
  </w:style>
  <w:style w:type="character" w:styleId="797">
    <w:name w:val="Footer Char"/>
    <w:basedOn w:val="943"/>
    <w:link w:val="949"/>
    <w:uiPriority w:val="99"/>
  </w:style>
  <w:style w:type="paragraph" w:styleId="798">
    <w:name w:val="Caption"/>
    <w:basedOn w:val="942"/>
    <w:next w:val="9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9">
    <w:name w:val="Caption Char"/>
    <w:basedOn w:val="798"/>
    <w:link w:val="949"/>
    <w:uiPriority w:val="99"/>
  </w:style>
  <w:style w:type="table" w:styleId="800">
    <w:name w:val="Table Grid Light"/>
    <w:basedOn w:val="9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1">
    <w:name w:val="Plain Table 1"/>
    <w:basedOn w:val="9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2"/>
    <w:basedOn w:val="9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4">
    <w:name w:val="Plain Table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Plain Table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6">
    <w:name w:val="Grid Table 1 Light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4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8">
    <w:name w:val="Grid Table 4 - Accent 1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9">
    <w:name w:val="Grid Table 4 - Accent 2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0">
    <w:name w:val="Grid Table 4 - Accent 3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1">
    <w:name w:val="Grid Table 4 - Accent 4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2">
    <w:name w:val="Grid Table 4 - Accent 5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3">
    <w:name w:val="Grid Table 4 - Accent 6"/>
    <w:basedOn w:val="9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4">
    <w:name w:val="Grid Table 5 Dark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5">
    <w:name w:val="Grid Table 5 Dark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8">
    <w:name w:val="Grid Table 5 Dark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1">
    <w:name w:val="Grid Table 6 Colorful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2">
    <w:name w:val="Grid Table 6 Colorful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3">
    <w:name w:val="Grid Table 6 Colorful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4">
    <w:name w:val="Grid Table 6 Colorful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5">
    <w:name w:val="Grid Table 6 Colorful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6">
    <w:name w:val="Grid Table 6 Colorful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7">
    <w:name w:val="Grid Table 6 Colorful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8">
    <w:name w:val="Grid Table 7 Colorful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3">
    <w:name w:val="List Table 2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4">
    <w:name w:val="List Table 2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5">
    <w:name w:val="List Table 2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6">
    <w:name w:val="List Table 2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7">
    <w:name w:val="List Table 2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8">
    <w:name w:val="List Table 2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9">
    <w:name w:val="List Table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5 Dark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6 Colorful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1">
    <w:name w:val="List Table 6 Colorful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2">
    <w:name w:val="List Table 6 Colorful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3">
    <w:name w:val="List Table 6 Colorful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4">
    <w:name w:val="List Table 6 Colorful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5">
    <w:name w:val="List Table 6 Colorful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6">
    <w:name w:val="List Table 6 Colorful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7">
    <w:name w:val="List Table 7 Colorful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8">
    <w:name w:val="List Table 7 Colorful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9">
    <w:name w:val="List Table 7 Colorful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0">
    <w:name w:val="List Table 7 Colorful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1">
    <w:name w:val="List Table 7 Colorful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2">
    <w:name w:val="List Table 7 Colorful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3">
    <w:name w:val="List Table 7 Colorful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4">
    <w:name w:val="Lined - Accent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5">
    <w:name w:val="Lined - Accent 1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6">
    <w:name w:val="Lined - Accent 2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7">
    <w:name w:val="Lined - Accent 3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8">
    <w:name w:val="Lined - Accent 4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9">
    <w:name w:val="Lined - Accent 5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0">
    <w:name w:val="Lined - Accent 6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1">
    <w:name w:val="Bordered &amp; Lined - Accent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2">
    <w:name w:val="Bordered &amp; Lined - Accent 1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3">
    <w:name w:val="Bordered &amp; Lined - Accent 2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4">
    <w:name w:val="Bordered &amp; Lined - Accent 3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5">
    <w:name w:val="Bordered &amp; Lined - Accent 4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6">
    <w:name w:val="Bordered &amp; Lined - Accent 5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7">
    <w:name w:val="Bordered &amp; Lined - Accent 6"/>
    <w:basedOn w:val="9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8">
    <w:name w:val="Bordered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9">
    <w:name w:val="Bordered - Accent 1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0">
    <w:name w:val="Bordered - Accent 2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1">
    <w:name w:val="Bordered - Accent 3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2">
    <w:name w:val="Bordered - Accent 4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3">
    <w:name w:val="Bordered - Accent 5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4">
    <w:name w:val="Bordered - Accent 6"/>
    <w:basedOn w:val="9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25">
    <w:name w:val="footnote text"/>
    <w:basedOn w:val="942"/>
    <w:link w:val="926"/>
    <w:uiPriority w:val="99"/>
    <w:semiHidden/>
    <w:unhideWhenUsed/>
    <w:pPr>
      <w:spacing w:after="40" w:line="240" w:lineRule="auto"/>
    </w:pPr>
    <w:rPr>
      <w:sz w:val="18"/>
    </w:rPr>
  </w:style>
  <w:style w:type="character" w:styleId="926">
    <w:name w:val="Footnote Text Char"/>
    <w:link w:val="925"/>
    <w:uiPriority w:val="99"/>
    <w:rPr>
      <w:sz w:val="18"/>
    </w:rPr>
  </w:style>
  <w:style w:type="character" w:styleId="927">
    <w:name w:val="footnote reference"/>
    <w:basedOn w:val="943"/>
    <w:uiPriority w:val="99"/>
    <w:unhideWhenUsed/>
    <w:rPr>
      <w:vertAlign w:val="superscript"/>
    </w:rPr>
  </w:style>
  <w:style w:type="paragraph" w:styleId="928">
    <w:name w:val="endnote text"/>
    <w:basedOn w:val="942"/>
    <w:link w:val="929"/>
    <w:uiPriority w:val="99"/>
    <w:semiHidden/>
    <w:unhideWhenUsed/>
    <w:pPr>
      <w:spacing w:after="0" w:line="240" w:lineRule="auto"/>
    </w:pPr>
    <w:rPr>
      <w:sz w:val="20"/>
    </w:rPr>
  </w:style>
  <w:style w:type="character" w:styleId="929">
    <w:name w:val="Endnote Text Char"/>
    <w:link w:val="928"/>
    <w:uiPriority w:val="99"/>
    <w:rPr>
      <w:sz w:val="20"/>
    </w:rPr>
  </w:style>
  <w:style w:type="character" w:styleId="930">
    <w:name w:val="endnote reference"/>
    <w:basedOn w:val="943"/>
    <w:uiPriority w:val="99"/>
    <w:semiHidden/>
    <w:unhideWhenUsed/>
    <w:rPr>
      <w:vertAlign w:val="superscript"/>
    </w:rPr>
  </w:style>
  <w:style w:type="paragraph" w:styleId="931">
    <w:name w:val="toc 1"/>
    <w:basedOn w:val="942"/>
    <w:next w:val="942"/>
    <w:uiPriority w:val="39"/>
    <w:unhideWhenUsed/>
    <w:pPr>
      <w:ind w:left="0" w:right="0" w:firstLine="0"/>
      <w:spacing w:after="57"/>
    </w:pPr>
  </w:style>
  <w:style w:type="paragraph" w:styleId="932">
    <w:name w:val="toc 2"/>
    <w:basedOn w:val="942"/>
    <w:next w:val="942"/>
    <w:uiPriority w:val="39"/>
    <w:unhideWhenUsed/>
    <w:pPr>
      <w:ind w:left="283" w:right="0" w:firstLine="0"/>
      <w:spacing w:after="57"/>
    </w:pPr>
  </w:style>
  <w:style w:type="paragraph" w:styleId="933">
    <w:name w:val="toc 3"/>
    <w:basedOn w:val="942"/>
    <w:next w:val="942"/>
    <w:uiPriority w:val="39"/>
    <w:unhideWhenUsed/>
    <w:pPr>
      <w:ind w:left="567" w:right="0" w:firstLine="0"/>
      <w:spacing w:after="57"/>
    </w:pPr>
  </w:style>
  <w:style w:type="paragraph" w:styleId="934">
    <w:name w:val="toc 4"/>
    <w:basedOn w:val="942"/>
    <w:next w:val="942"/>
    <w:uiPriority w:val="39"/>
    <w:unhideWhenUsed/>
    <w:pPr>
      <w:ind w:left="850" w:right="0" w:firstLine="0"/>
      <w:spacing w:after="57"/>
    </w:pPr>
  </w:style>
  <w:style w:type="paragraph" w:styleId="935">
    <w:name w:val="toc 5"/>
    <w:basedOn w:val="942"/>
    <w:next w:val="942"/>
    <w:uiPriority w:val="39"/>
    <w:unhideWhenUsed/>
    <w:pPr>
      <w:ind w:left="1134" w:right="0" w:firstLine="0"/>
      <w:spacing w:after="57"/>
    </w:pPr>
  </w:style>
  <w:style w:type="paragraph" w:styleId="936">
    <w:name w:val="toc 6"/>
    <w:basedOn w:val="942"/>
    <w:next w:val="942"/>
    <w:uiPriority w:val="39"/>
    <w:unhideWhenUsed/>
    <w:pPr>
      <w:ind w:left="1417" w:right="0" w:firstLine="0"/>
      <w:spacing w:after="57"/>
    </w:pPr>
  </w:style>
  <w:style w:type="paragraph" w:styleId="937">
    <w:name w:val="toc 7"/>
    <w:basedOn w:val="942"/>
    <w:next w:val="942"/>
    <w:uiPriority w:val="39"/>
    <w:unhideWhenUsed/>
    <w:pPr>
      <w:ind w:left="1701" w:right="0" w:firstLine="0"/>
      <w:spacing w:after="57"/>
    </w:pPr>
  </w:style>
  <w:style w:type="paragraph" w:styleId="938">
    <w:name w:val="toc 8"/>
    <w:basedOn w:val="942"/>
    <w:next w:val="942"/>
    <w:uiPriority w:val="39"/>
    <w:unhideWhenUsed/>
    <w:pPr>
      <w:ind w:left="1984" w:right="0" w:firstLine="0"/>
      <w:spacing w:after="57"/>
    </w:pPr>
  </w:style>
  <w:style w:type="paragraph" w:styleId="939">
    <w:name w:val="toc 9"/>
    <w:basedOn w:val="942"/>
    <w:next w:val="942"/>
    <w:uiPriority w:val="39"/>
    <w:unhideWhenUsed/>
    <w:pPr>
      <w:ind w:left="2268" w:right="0" w:firstLine="0"/>
      <w:spacing w:after="57"/>
    </w:pPr>
  </w:style>
  <w:style w:type="paragraph" w:styleId="940">
    <w:name w:val="TOC Heading"/>
    <w:uiPriority w:val="39"/>
    <w:unhideWhenUsed/>
  </w:style>
  <w:style w:type="paragraph" w:styleId="941">
    <w:name w:val="table of figures"/>
    <w:basedOn w:val="942"/>
    <w:next w:val="942"/>
    <w:uiPriority w:val="99"/>
    <w:unhideWhenUsed/>
    <w:pPr>
      <w:spacing w:after="0" w:afterAutospacing="0"/>
    </w:pPr>
  </w:style>
  <w:style w:type="paragraph" w:styleId="94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character" w:styleId="943" w:default="1">
    <w:name w:val="Default Paragraph Font"/>
    <w:uiPriority w:val="1"/>
    <w:semiHidden/>
    <w:unhideWhenUsed/>
  </w:style>
  <w:style w:type="table" w:styleId="9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5" w:default="1">
    <w:name w:val="No List"/>
    <w:uiPriority w:val="99"/>
    <w:semiHidden/>
    <w:unhideWhenUsed/>
  </w:style>
  <w:style w:type="table" w:styleId="946">
    <w:name w:val="Table Grid"/>
    <w:basedOn w:val="9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47">
    <w:name w:val="Header"/>
    <w:basedOn w:val="942"/>
    <w:link w:val="94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8" w:customStyle="1">
    <w:name w:val="Верхний колонтитул Знак"/>
    <w:basedOn w:val="943"/>
    <w:link w:val="947"/>
    <w:uiPriority w:val="99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49">
    <w:name w:val="Footer"/>
    <w:basedOn w:val="942"/>
    <w:link w:val="95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0" w:customStyle="1">
    <w:name w:val="Нижний колонтитул Знак"/>
    <w:basedOn w:val="943"/>
    <w:link w:val="949"/>
    <w:uiPriority w:val="99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51">
    <w:name w:val="Balloon Text"/>
    <w:basedOn w:val="942"/>
    <w:link w:val="952"/>
    <w:uiPriority w:val="99"/>
    <w:semiHidden/>
    <w:unhideWhenUsed/>
    <w:rPr>
      <w:rFonts w:ascii="Tahoma" w:hAnsi="Tahoma" w:cs="Tahoma"/>
      <w:sz w:val="16"/>
      <w:szCs w:val="16"/>
    </w:rPr>
  </w:style>
  <w:style w:type="character" w:styleId="952" w:customStyle="1">
    <w:name w:val="Текст выноски Знак"/>
    <w:basedOn w:val="943"/>
    <w:link w:val="951"/>
    <w:uiPriority w:val="99"/>
    <w:semiHidden/>
    <w:rPr>
      <w:rFonts w:ascii="Tahoma" w:hAnsi="Tahoma" w:eastAsia="Times New Roman" w:cs="Tahoma"/>
      <w:bCs/>
      <w:color w:val="000000"/>
      <w:sz w:val="16"/>
      <w:szCs w:val="16"/>
      <w:lang w:eastAsia="ru-RU"/>
    </w:rPr>
  </w:style>
  <w:style w:type="paragraph" w:styleId="953">
    <w:name w:val="HTML Preformatted"/>
    <w:basedOn w:val="942"/>
    <w:link w:val="954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bCs w:val="0"/>
      <w:color w:val="auto"/>
      <w:sz w:val="20"/>
      <w:szCs w:val="20"/>
    </w:rPr>
  </w:style>
  <w:style w:type="character" w:styleId="954" w:customStyle="1">
    <w:name w:val="Стандартный HTML Знак"/>
    <w:basedOn w:val="943"/>
    <w:link w:val="953"/>
    <w:rPr>
      <w:rFonts w:ascii="Courier New" w:hAnsi="Courier New" w:eastAsia="Times New Roman" w:cs="Times New Roman"/>
      <w:sz w:val="20"/>
      <w:szCs w:val="20"/>
    </w:rPr>
  </w:style>
  <w:style w:type="paragraph" w:styleId="955">
    <w:name w:val="List Paragraph"/>
    <w:basedOn w:val="942"/>
    <w:uiPriority w:val="34"/>
    <w:qFormat/>
    <w:pPr>
      <w:contextualSpacing/>
      <w:ind w:left="720"/>
    </w:pPr>
  </w:style>
  <w:style w:type="paragraph" w:styleId="956">
    <w:name w:val="Body Text 2"/>
    <w:basedOn w:val="942"/>
    <w:link w:val="957"/>
    <w:pPr>
      <w:ind w:firstLine="567"/>
      <w:jc w:val="both"/>
    </w:pPr>
    <w:rPr>
      <w:bCs w:val="0"/>
      <w:color w:val="auto"/>
      <w:sz w:val="28"/>
      <w:szCs w:val="20"/>
    </w:rPr>
  </w:style>
  <w:style w:type="character" w:styleId="957" w:customStyle="1">
    <w:name w:val="Основной текст 2 Знак"/>
    <w:basedOn w:val="943"/>
    <w:link w:val="956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5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59" w:customStyle="1">
    <w:name w:val="ConsPlusNormal"/>
    <w:link w:val="966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60" w:customStyle="1">
    <w:name w:val="ConsPlusCell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lang w:eastAsia="ru-RU"/>
    </w:rPr>
  </w:style>
  <w:style w:type="paragraph" w:styleId="961" w:customStyle="1">
    <w:name w:val="Style3"/>
    <w:basedOn w:val="942"/>
    <w:pPr>
      <w:widowControl w:val="off"/>
    </w:pPr>
    <w:rPr>
      <w:bCs w:val="0"/>
      <w:color w:val="auto"/>
    </w:rPr>
  </w:style>
  <w:style w:type="paragraph" w:styleId="962" w:customStyle="1">
    <w:name w:val="consplusnormal"/>
    <w:basedOn w:val="942"/>
    <w:pPr>
      <w:spacing w:before="100" w:beforeAutospacing="1" w:after="100" w:afterAutospacing="1"/>
    </w:pPr>
    <w:rPr>
      <w:bCs w:val="0"/>
      <w:color w:val="auto"/>
    </w:rPr>
  </w:style>
  <w:style w:type="paragraph" w:styleId="963">
    <w:name w:val="No Spacing"/>
    <w:link w:val="965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64">
    <w:name w:val="Normal (Web)"/>
    <w:basedOn w:val="942"/>
    <w:uiPriority w:val="99"/>
    <w:unhideWhenUsed/>
    <w:pPr>
      <w:spacing w:before="100" w:beforeAutospacing="1" w:after="100" w:afterAutospacing="1"/>
    </w:pPr>
    <w:rPr>
      <w:bCs w:val="0"/>
      <w:color w:val="auto"/>
    </w:rPr>
  </w:style>
  <w:style w:type="character" w:styleId="965" w:customStyle="1">
    <w:name w:val="Без интервала Знак"/>
    <w:basedOn w:val="943"/>
    <w:link w:val="963"/>
    <w:uiPriority w:val="1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character" w:styleId="966" w:customStyle="1">
    <w:name w:val="ConsPlusNormal Знак"/>
    <w:link w:val="959"/>
    <w:rPr>
      <w:rFonts w:ascii="Arial" w:hAnsi="Arial" w:eastAsia="Times New Roman" w:cs="Arial"/>
      <w:sz w:val="20"/>
      <w:szCs w:val="20"/>
      <w:lang w:eastAsia="ru-RU"/>
    </w:rPr>
  </w:style>
  <w:style w:type="paragraph" w:styleId="967" w:customStyle="1">
    <w:name w:val="Default"/>
    <w:uiPriority w:val="99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ru-RU"/>
    </w:rPr>
  </w:style>
  <w:style w:type="character" w:styleId="968">
    <w:name w:val="Hyperlink"/>
    <w:basedOn w:val="943"/>
    <w:uiPriority w:val="99"/>
    <w:unhideWhenUsed/>
    <w:rPr>
      <w:color w:val="0000ff"/>
      <w:u w:val="single"/>
    </w:rPr>
  </w:style>
  <w:style w:type="character" w:styleId="969" w:customStyle="1">
    <w:name w:val="fontstyle01"/>
    <w:basedOn w:val="943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styleId="970" w:customStyle="1">
    <w:name w:val="Заголовок 1"/>
    <w:basedOn w:val="958"/>
    <w:next w:val="958"/>
    <w:link w:val="958"/>
    <w:qFormat/>
    <w:pPr>
      <w:numPr>
        <w:ilvl w:val="0"/>
        <w:numId w:val="0"/>
      </w:numPr>
      <w:contextualSpacing w:val="0"/>
      <w:ind w:left="0" w:right="0" w:firstLine="0"/>
      <w:jc w:val="center"/>
      <w:keepLines/>
      <w:keepNext/>
      <w:pageBreakBefore w:val="0"/>
      <w:spacing w:before="0" w:beforeAutospacing="0" w:after="0" w:afterAutospacing="0" w:line="276" w:lineRule="auto"/>
      <w:shd w:val="nil" w:color="000000"/>
      <w:widowControl/>
      <w:tabs>
        <w:tab w:val="num" w:pos="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 w:val="0"/>
      <w:bCs/>
      <w:i w:val="0"/>
      <w:iCs w:val="0"/>
      <w:caps w:val="0"/>
      <w:smallCaps w:val="0"/>
      <w:strike w:val="0"/>
      <w:vanish w:val="0"/>
      <w:color w:val="365f91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CFD55-E55E-42ED-B331-EDDB72E8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Romeo1994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Кустова Ольга Валерьевна</dc:creator>
  <cp:revision>150</cp:revision>
  <dcterms:created xsi:type="dcterms:W3CDTF">2023-10-06T03:36:00Z</dcterms:created>
  <dcterms:modified xsi:type="dcterms:W3CDTF">2024-10-10T05:42:01Z</dcterms:modified>
</cp:coreProperties>
</file>